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C3" w:rsidRPr="008125C3" w:rsidRDefault="008125C3" w:rsidP="008125C3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b/>
          <w:bCs/>
          <w:color w:val="858585"/>
          <w:sz w:val="21"/>
          <w:szCs w:val="21"/>
          <w:lang w:eastAsia="ru-RU"/>
        </w:rPr>
      </w:pPr>
      <w:r w:rsidRPr="008125C3">
        <w:rPr>
          <w:rFonts w:ascii="Arial" w:eastAsia="Times New Roman" w:hAnsi="Arial" w:cs="Arial"/>
          <w:b/>
          <w:bCs/>
          <w:color w:val="858585"/>
          <w:sz w:val="24"/>
          <w:szCs w:val="24"/>
          <w:lang w:eastAsia="ru-RU"/>
        </w:rPr>
        <w:t>Основные подходы к профилактике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Органы государственной власти и местного самоуправления, противодействующие экстремистской деятельности, выступают в роли </w:t>
      </w:r>
      <w:proofErr w:type="spellStart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контрсубъекта</w:t>
      </w:r>
      <w:proofErr w:type="spellEnd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, реагирующего на экстремистские действия.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Объективная логика становления </w:t>
      </w:r>
      <w:proofErr w:type="spellStart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контрсубъекта</w:t>
      </w:r>
      <w:proofErr w:type="spellEnd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такова, что в первичной своей форме в силу </w:t>
      </w:r>
      <w:proofErr w:type="spellStart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неспециализированности</w:t>
      </w:r>
      <w:proofErr w:type="spellEnd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он по уровню развития отстает от ведущего субъекта (в данном случае - субъекта экстремизма).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Принятый федеральный закон, как фактом своего принятия, так и содержанием неявно констатировал опасность экстремизма и сориентировал государство и общество на борьбу с ним. Но задача организации всех сил общества и государства для противодействия экстремистской деятельности как раз требует образования субъекта, специализирующегося на данном противодействии.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Эффективное противодействие экстремизму должно опираться на познание закономерностей становления и развития субъекта экстремистской деятельности, прогнозирование интенсивности и перспектив экстремистских действий.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В федеральном законе представлен образ субъекта экстремистской деятельности. В ст. 1 говорится об общественных и религиозных объединениях, либо иных организациях, либо средствах массовой информации, либо физических лицах, осуществляющих экстремистскую деятельность.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Закон в статьях 14 и 15 предусматривает ответственность должностных лиц, государственных и муниципальных служащих, в целом граждан Российской Федерации, иностранных граждан и лиц без гражданства за осуществление экстремистской деятельности.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Профилактика экстремистской деятельности в молодежной среде - это область науки и практики социальной работы, которая интенсивно связана с профилактикой психического здоровья, с вопросами эффективной адаптации к жизни и окружающей среде, с проблемами педагогики, воспитания, общения и в целом понимания людьми друг друга и самих себя.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В последние годы в странах Западной Европы, США и СНГ развиваются и апробируются различные направления профилактики экстремизма. Однако работа по многим профилактическим программам не дает положительных результатов. Это связано с несколькими причинами: недостатком теоретически обоснованных моделей, отсутствием достаточного числа апробированных технологий, точного определения предмета воздействия. Во многих странах, в том числе и в России, профилактика экстремистской деятельности осуществляется в основном юридическими и силовыми методами, необходимость которых очевидна, однако они не могут заменить психопрофилактические. В России так же слабо развита сама социальная работа, которая именно в этой стране крайне необходима, не говорю уж и о таком направлении как профилактика экстремизма.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b/>
          <w:bCs/>
          <w:color w:val="484C51"/>
          <w:sz w:val="24"/>
          <w:szCs w:val="24"/>
          <w:lang w:eastAsia="ru-RU"/>
        </w:rPr>
        <w:t>В настоящее время существует пять основных психопрофилактических подходов к предупреждению проявлений экстремизма: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1.Подход, основанный на распространении информации об экстремизме и организациях экстремистского толка.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Данный подход является наиболее распространенным типом превентивных стратегий. Он базируется на предоставлении информации об экстремистских организациях и об </w:t>
      </w:r>
      <w:bookmarkStart w:id="0" w:name="_GoBack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lastRenderedPageBreak/>
        <w:t xml:space="preserve">опасности их религиозных, националистических, политических идей, приведении фактов </w:t>
      </w:r>
      <w:bookmarkEnd w:id="0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о жизненных трудностях, ситуациях и мотивах членов данных организаций. Социальные работники устраивают акции и создают проекты для информирования молодежи об экстремизме.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В настоящее время этот метод частично комбинируется с другими типами интервенций, так как сам по себе он не является эффективным. Несмотря на то, что информационные программы способствуют повышению уровня знаний, они могут лишь дать толчок к отвращению всякого рода нетерпимости. Большинство таких программ не включают в себя задач, направленных на изменение поведения молодежи, формирование у них толерантности, национал- и веротерпимости, и не отвечают на вопрос, как может </w:t>
      </w:r>
      <w:proofErr w:type="spellStart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самореализоваться</w:t>
      </w:r>
      <w:proofErr w:type="spellEnd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молодой человек в настоящее время.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Чаще всего эти программы недостаточно интенсивны и непродолжительны. Тем не менее, совсем отказываться от них преждевременно. Информация об опасности экстремистских организаций должна даваться как можно более подробно и вплетаться в структуру других программ, имеющих более широкие цели.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b/>
          <w:bCs/>
          <w:color w:val="484C51"/>
          <w:sz w:val="24"/>
          <w:szCs w:val="24"/>
          <w:lang w:eastAsia="ru-RU"/>
        </w:rPr>
        <w:t>2.Подход, основанный на аффективном обучении.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В основе этого подхода лежит теоретическое положение о том, что проявлять нетерпимость к «другим» начинают, прежде всего, люди с недостаточно развитой эмоциональной сферой, воспитанные в семьях, где существовал запрет на выражение эмоций.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Аффективное (интенсивное эмоциональное) обучение базируется на понимании того, что нетерпимость чаще развивается у личностей с трудностями в определении и выражении эмоций, имеющих так называемые </w:t>
      </w:r>
      <w:proofErr w:type="spellStart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интерперсональные</w:t>
      </w:r>
      <w:proofErr w:type="spellEnd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факторы риска - низкую самооценку, неразвитую способность к сопереживанию (</w:t>
      </w:r>
      <w:proofErr w:type="spellStart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эмпатию</w:t>
      </w:r>
      <w:proofErr w:type="spellEnd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).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В связи с этим у них не формируется умение накапливать собственный и чужой опыт переживаний, не развиваются навыки принятия решений в сложных стрессовых ситуациях.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Кроме того, люди с неразвитой способностью открыто проявлять свои эмоции, обычно недостаточно общительны, </w:t>
      </w:r>
      <w:proofErr w:type="spellStart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скованы</w:t>
      </w:r>
      <w:proofErr w:type="spellEnd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в проявлении чувств, низко оцениваются сверстниками и поэтому готовы любой ценой, даже посредством преступлений, включиться в группу сверстников и быть там принятыми. Социальные работники при этом подходе должны учить клиентов управлять рационально своими эмоциями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Хотя данная модель и является эффективной, в современных условиях она не может использоваться изолированно от других, так как идеи экстремизма в настоящее время распространились не только на подростков с проблемной эмоциональной сферой, но и на многие другие слои этой возрастной группы. Кроме того, отечественная культура воспитания ребенка предполагает определенные эмоциональные запреты на чрезмерное эмпатическое сопереживание, что, несомненно, пагубно влияет на формирование личности в целом. Иными словами, родительские «не плачь, не кричи, успокойся, будь мужчиной» и т. д., кроме известной пользы, приносят еще и определенный вред.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b/>
          <w:bCs/>
          <w:color w:val="484C51"/>
          <w:sz w:val="24"/>
          <w:szCs w:val="24"/>
          <w:lang w:eastAsia="ru-RU"/>
        </w:rPr>
        <w:t>3.Подход, основанный на влиянии социальных факторов.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Данный подход базируется на понимании того, что влияние сверстников и семьи играет важную роль, способствуя или препятствуя зарождению экстремистских идей. С точки зрения данного подхода важнейшим фактором развития человека является социальная </w:t>
      </w: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lastRenderedPageBreak/>
        <w:t>среда как источник обратной связи, поощрений и наказаний. В связи с этим подчеркивается важность социально ориентированной интервенции, представляющей собой специальные программы для родителей, или программы, направленные на предотвращение возможного социального давления экстремистской среды.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Наиболее популярными среди таких программ являются тренинги устойчивости к социальному давлению. Одним из важных подходов в такого рода программах является работа с молодежными лидерами - подростками, желающими пройти определенное обучение, для того, чтобы в дальнейшем осуществлять профилактическую </w:t>
      </w:r>
      <w:proofErr w:type="spellStart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антиэкстремистскую</w:t>
      </w:r>
      <w:proofErr w:type="spellEnd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деятельность в своей школе, в своем районе.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b/>
          <w:bCs/>
          <w:color w:val="484C51"/>
          <w:sz w:val="24"/>
          <w:szCs w:val="24"/>
          <w:lang w:eastAsia="ru-RU"/>
        </w:rPr>
        <w:t>4.Подход, основанный на формировании жизненных навыков.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В данном подходе центральным является понятие об изменении поведения, поэтому в нем используются преимущественно методы поведенческой модификации. Основу этого направления составляет теория социального научения Бандуры (</w:t>
      </w:r>
      <w:proofErr w:type="spellStart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Bandura</w:t>
      </w:r>
      <w:proofErr w:type="spellEnd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A., 1969). В 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целей. С этой точки зрения начальная фаза экстремистской деятельности может быть попыткой демонстрации взрослого поведения, т.е. формой отчуждения от родительской дисциплины, выражением социального протеста и вызовом по отношению к ценностям среды, она дает возможность стать участником </w:t>
      </w:r>
      <w:proofErr w:type="spellStart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субкультурального</w:t>
      </w:r>
      <w:proofErr w:type="spellEnd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жизненного стиля.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Исследователи этого вопроса описывают множество таких субъективных мотивов и четко устанавливают один факт: агрессия становится основным фактором в поведении молодых людей. На основе данной позиции разрабатываются программы жизненных навыков, которые заключаются в повышении у подростков устойчивости к различным отрицательным социальным влияниям. Стремление юных соотечественников перенимать западный поведенческий имидж - вещь неизбежная, однако непременной составляющей этого процесса должно быть когнитивное развитие - основа осмысленного формирования собственного поведенческого стиля.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b/>
          <w:bCs/>
          <w:color w:val="484C51"/>
          <w:sz w:val="24"/>
          <w:szCs w:val="24"/>
          <w:lang w:eastAsia="ru-RU"/>
        </w:rPr>
        <w:t>5.Подход, основанный на развитии деятельности, альтернативной экстремистской.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Этот подход предполагает необходимость развития альтернативных социальных программ для молодежи, в которых могли бы быть в социально нормативных рамках реализованы стремление к риску, поиск острых ощущений, повышенная поведенческая активность, столь свойственные молодым. Данное направление является попыткой развития специфической активности с целью уменьшить риск проявления экстремистской агрессии.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Например, в настоящее время все больше футбольных фанатов становятся экстремистами. Однако, любовь к своей команде не причина ненависти к другим. Некоторые социальные работники предлагали создавать все больше открытых площадок для игр в футбол, чтобы болельщики не выходили на бои с противниками, а играли в футбол между собой или с болельщиками других футбольных команд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А. </w:t>
      </w:r>
      <w:proofErr w:type="spellStart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Кромин</w:t>
      </w:r>
      <w:proofErr w:type="spellEnd"/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выделяет четыре варианта программ, основанных на деятельности, альтернативной экстремистской: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1.                      Предложение специфической активности (например, путешествия с приключениями), которое вызывает волнение и предполагает преодоление различных препятствий.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lastRenderedPageBreak/>
        <w:t>2.                     Комбинация возможности удовлетворения специфических для подростков потребностей (например, потребности в самореализации) со специфической активностью (например, занятия творчеством или спортом).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3.                     Поощрение участия подростков во всех видах специфической активности (разнообразные хобби, клубы и т. д.).</w:t>
      </w:r>
    </w:p>
    <w:p w:rsidR="008125C3" w:rsidRPr="008125C3" w:rsidRDefault="008125C3" w:rsidP="0081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8125C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4.                     Создание групп молодых людей, заботящихся об активном выборе своей жизненной позиции. Результаты этих программ не свидетельствуют о явных успехах или неудачах, однако они особенно эффективны в группах высокого риска отклоняющегося поведения.</w:t>
      </w:r>
    </w:p>
    <w:p w:rsidR="008C2A82" w:rsidRDefault="008C2A82"/>
    <w:sectPr w:rsidR="008C2A82" w:rsidSect="008125C3">
      <w:pgSz w:w="11906" w:h="16838"/>
      <w:pgMar w:top="993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D7"/>
    <w:rsid w:val="00645E02"/>
    <w:rsid w:val="008125C3"/>
    <w:rsid w:val="008C2A82"/>
    <w:rsid w:val="00AA61D7"/>
    <w:rsid w:val="00E7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F263F-CEF8-4D5B-AA76-375280E6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25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25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1478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Н. Беляева</dc:creator>
  <cp:keywords/>
  <dc:description/>
  <cp:lastModifiedBy>Анна Н. Беляева</cp:lastModifiedBy>
  <cp:revision>3</cp:revision>
  <dcterms:created xsi:type="dcterms:W3CDTF">2025-05-26T05:17:00Z</dcterms:created>
  <dcterms:modified xsi:type="dcterms:W3CDTF">2025-05-26T05:17:00Z</dcterms:modified>
</cp:coreProperties>
</file>